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859" w:rsidRPr="007C376C" w:rsidRDefault="00A66859" w:rsidP="007C376C">
      <w:pPr>
        <w:spacing w:before="240" w:line="480" w:lineRule="auto"/>
        <w:jc w:val="both"/>
        <w:rPr>
          <w:rFonts w:ascii="Times New Roman" w:hAnsi="Times New Roman" w:cs="Times New Roman"/>
          <w:sz w:val="24"/>
          <w:szCs w:val="24"/>
        </w:rPr>
      </w:pPr>
    </w:p>
    <w:p w:rsidR="000F7007" w:rsidRPr="007C376C" w:rsidRDefault="000F7007" w:rsidP="007C376C">
      <w:pPr>
        <w:spacing w:before="240" w:line="480" w:lineRule="auto"/>
        <w:jc w:val="both"/>
        <w:rPr>
          <w:rFonts w:ascii="Times New Roman" w:hAnsi="Times New Roman" w:cs="Times New Roman"/>
          <w:sz w:val="24"/>
          <w:szCs w:val="24"/>
        </w:rPr>
      </w:pPr>
    </w:p>
    <w:p w:rsidR="000F7007" w:rsidRPr="007C376C" w:rsidRDefault="000F7007" w:rsidP="007C376C">
      <w:pPr>
        <w:spacing w:before="240" w:line="480" w:lineRule="auto"/>
        <w:jc w:val="both"/>
        <w:rPr>
          <w:rFonts w:ascii="Times New Roman" w:hAnsi="Times New Roman" w:cs="Times New Roman"/>
          <w:sz w:val="24"/>
          <w:szCs w:val="24"/>
        </w:rPr>
      </w:pPr>
    </w:p>
    <w:p w:rsidR="007C376C" w:rsidRDefault="007C376C" w:rsidP="007C376C">
      <w:pPr>
        <w:spacing w:before="240" w:line="480" w:lineRule="auto"/>
        <w:jc w:val="center"/>
        <w:rPr>
          <w:rFonts w:ascii="Times New Roman" w:hAnsi="Times New Roman" w:cs="Times New Roman"/>
          <w:sz w:val="24"/>
          <w:szCs w:val="24"/>
        </w:rPr>
      </w:pPr>
    </w:p>
    <w:p w:rsidR="007C376C" w:rsidRDefault="007C376C" w:rsidP="007C376C">
      <w:pPr>
        <w:spacing w:before="240" w:line="480" w:lineRule="auto"/>
        <w:jc w:val="center"/>
        <w:rPr>
          <w:rFonts w:ascii="Times New Roman" w:hAnsi="Times New Roman" w:cs="Times New Roman"/>
          <w:sz w:val="24"/>
          <w:szCs w:val="24"/>
        </w:rPr>
      </w:pPr>
    </w:p>
    <w:p w:rsidR="007C376C" w:rsidRDefault="007C376C" w:rsidP="007C376C">
      <w:pPr>
        <w:spacing w:before="240" w:line="480" w:lineRule="auto"/>
        <w:jc w:val="center"/>
        <w:rPr>
          <w:rFonts w:ascii="Times New Roman" w:hAnsi="Times New Roman" w:cs="Times New Roman"/>
          <w:sz w:val="24"/>
          <w:szCs w:val="24"/>
        </w:rPr>
      </w:pPr>
    </w:p>
    <w:p w:rsidR="000F7007" w:rsidRPr="007C376C" w:rsidRDefault="00CC5EB0" w:rsidP="007C376C">
      <w:pPr>
        <w:spacing w:before="240" w:line="480" w:lineRule="auto"/>
        <w:jc w:val="center"/>
        <w:rPr>
          <w:rFonts w:ascii="Times New Roman" w:hAnsi="Times New Roman" w:cs="Times New Roman"/>
          <w:sz w:val="24"/>
          <w:szCs w:val="24"/>
        </w:rPr>
      </w:pPr>
      <w:r w:rsidRPr="007C376C">
        <w:rPr>
          <w:rFonts w:ascii="Times New Roman" w:hAnsi="Times New Roman" w:cs="Times New Roman"/>
          <w:sz w:val="24"/>
          <w:szCs w:val="24"/>
        </w:rPr>
        <w:t>Bona Fide Occupational Qualifications</w:t>
      </w:r>
    </w:p>
    <w:p w:rsidR="00CC064D" w:rsidRPr="007C376C" w:rsidRDefault="00CC064D" w:rsidP="007C376C">
      <w:pPr>
        <w:spacing w:before="240" w:line="480" w:lineRule="auto"/>
        <w:jc w:val="center"/>
        <w:rPr>
          <w:rFonts w:ascii="Times New Roman" w:hAnsi="Times New Roman" w:cs="Times New Roman"/>
          <w:color w:val="000000" w:themeColor="text1"/>
          <w:sz w:val="24"/>
          <w:szCs w:val="24"/>
        </w:rPr>
      </w:pPr>
      <w:r w:rsidRPr="007C376C">
        <w:rPr>
          <w:rFonts w:ascii="Times New Roman" w:hAnsi="Times New Roman" w:cs="Times New Roman"/>
          <w:color w:val="000000" w:themeColor="text1"/>
          <w:sz w:val="24"/>
          <w:szCs w:val="24"/>
        </w:rPr>
        <w:t>Student’s name:</w:t>
      </w:r>
    </w:p>
    <w:p w:rsidR="00CC064D" w:rsidRPr="007C376C" w:rsidRDefault="00CC064D" w:rsidP="007C376C">
      <w:pPr>
        <w:spacing w:before="240" w:line="480" w:lineRule="auto"/>
        <w:jc w:val="center"/>
        <w:rPr>
          <w:rFonts w:ascii="Times New Roman" w:hAnsi="Times New Roman" w:cs="Times New Roman"/>
          <w:color w:val="000000" w:themeColor="text1"/>
          <w:sz w:val="24"/>
          <w:szCs w:val="24"/>
        </w:rPr>
      </w:pPr>
      <w:r w:rsidRPr="007C376C">
        <w:rPr>
          <w:rFonts w:ascii="Times New Roman" w:hAnsi="Times New Roman" w:cs="Times New Roman"/>
          <w:color w:val="000000" w:themeColor="text1"/>
          <w:sz w:val="24"/>
          <w:szCs w:val="24"/>
        </w:rPr>
        <w:t>Institution-affiliated:</w:t>
      </w:r>
    </w:p>
    <w:p w:rsidR="00CC064D" w:rsidRPr="007C376C" w:rsidRDefault="00CC064D" w:rsidP="007C376C">
      <w:pPr>
        <w:spacing w:before="240" w:line="480" w:lineRule="auto"/>
        <w:jc w:val="center"/>
        <w:rPr>
          <w:rFonts w:ascii="Times New Roman" w:hAnsi="Times New Roman" w:cs="Times New Roman"/>
          <w:color w:val="000000" w:themeColor="text1"/>
          <w:sz w:val="24"/>
          <w:szCs w:val="24"/>
        </w:rPr>
      </w:pPr>
      <w:r w:rsidRPr="007C376C">
        <w:rPr>
          <w:rFonts w:ascii="Times New Roman" w:hAnsi="Times New Roman" w:cs="Times New Roman"/>
          <w:color w:val="000000" w:themeColor="text1"/>
          <w:sz w:val="24"/>
          <w:szCs w:val="24"/>
        </w:rPr>
        <w:t>Professor’s name:</w:t>
      </w:r>
    </w:p>
    <w:p w:rsidR="00CC064D" w:rsidRPr="007C376C" w:rsidRDefault="00CC064D" w:rsidP="007C376C">
      <w:pPr>
        <w:spacing w:before="240" w:line="480" w:lineRule="auto"/>
        <w:jc w:val="center"/>
        <w:rPr>
          <w:rFonts w:ascii="Times New Roman" w:hAnsi="Times New Roman" w:cs="Times New Roman"/>
          <w:sz w:val="24"/>
          <w:szCs w:val="24"/>
        </w:rPr>
      </w:pPr>
      <w:r w:rsidRPr="007C376C">
        <w:rPr>
          <w:rFonts w:ascii="Times New Roman" w:hAnsi="Times New Roman" w:cs="Times New Roman"/>
          <w:color w:val="000000" w:themeColor="text1"/>
          <w:sz w:val="24"/>
          <w:szCs w:val="24"/>
        </w:rPr>
        <w:t>Date</w:t>
      </w: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064D" w:rsidRPr="007C376C" w:rsidRDefault="00CC064D" w:rsidP="007C376C">
      <w:pPr>
        <w:spacing w:before="240" w:line="480" w:lineRule="auto"/>
        <w:jc w:val="both"/>
        <w:rPr>
          <w:rFonts w:ascii="Times New Roman" w:hAnsi="Times New Roman" w:cs="Times New Roman"/>
          <w:sz w:val="24"/>
          <w:szCs w:val="24"/>
        </w:rPr>
      </w:pPr>
    </w:p>
    <w:p w:rsidR="00CC5EB0" w:rsidRPr="007C376C" w:rsidRDefault="00CC5EB0" w:rsidP="007C376C">
      <w:pPr>
        <w:spacing w:before="240" w:line="480" w:lineRule="auto"/>
        <w:jc w:val="both"/>
        <w:rPr>
          <w:rFonts w:ascii="Times New Roman" w:hAnsi="Times New Roman" w:cs="Times New Roman"/>
          <w:sz w:val="24"/>
          <w:szCs w:val="24"/>
        </w:rPr>
      </w:pPr>
      <w:r w:rsidRPr="007C376C">
        <w:rPr>
          <w:rFonts w:ascii="Times New Roman" w:hAnsi="Times New Roman" w:cs="Times New Roman"/>
          <w:sz w:val="24"/>
          <w:szCs w:val="24"/>
        </w:rPr>
        <w:t>Bona Fide Occupational Qualifications</w:t>
      </w:r>
    </w:p>
    <w:p w:rsidR="00CC5EB0" w:rsidRPr="007C376C" w:rsidRDefault="00CC5EB0" w:rsidP="007C376C">
      <w:pPr>
        <w:spacing w:before="240" w:line="480" w:lineRule="auto"/>
        <w:jc w:val="both"/>
        <w:rPr>
          <w:rFonts w:ascii="Times New Roman" w:hAnsi="Times New Roman" w:cs="Times New Roman"/>
          <w:sz w:val="24"/>
          <w:szCs w:val="24"/>
        </w:rPr>
      </w:pPr>
      <w:r w:rsidRPr="007C376C">
        <w:rPr>
          <w:rFonts w:ascii="Times New Roman" w:hAnsi="Times New Roman" w:cs="Times New Roman"/>
          <w:sz w:val="24"/>
          <w:szCs w:val="24"/>
        </w:rPr>
        <w:tab/>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 xml:space="preserve">In a world, with an overabundance of litigation and political correctness, we find laws with more flexibility of standards that have the potential to be altered by cases that are defined in a court of law. The </w:t>
      </w:r>
      <w:r w:rsidR="00CC064D" w:rsidRPr="007C376C">
        <w:rPr>
          <w:rFonts w:ascii="Times New Roman" w:hAnsi="Times New Roman" w:cs="Times New Roman"/>
          <w:sz w:val="24"/>
          <w:szCs w:val="24"/>
        </w:rPr>
        <w:t>arguments surrounding this area of law are</w:t>
      </w:r>
      <w:r w:rsidRPr="007C376C">
        <w:rPr>
          <w:rFonts w:ascii="Times New Roman" w:hAnsi="Times New Roman" w:cs="Times New Roman"/>
          <w:sz w:val="24"/>
          <w:szCs w:val="24"/>
        </w:rPr>
        <w:t xml:space="preserve"> narrowly restricted to limited instances and not very reliable. </w:t>
      </w:r>
    </w:p>
    <w:p w:rsidR="00A56418" w:rsidRPr="007C376C" w:rsidRDefault="00A56418"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 xml:space="preserve">Bona Fide Occupational Job Qualifications (BFOQs) are the employment qualifications that the law allows employers to take into consideration while making hiring and retention decisions. The law requires that the employment qualifications be concerned with an essential job duty that is a necessary part of business operation. Under the BFOQs, employers are legally allowed to hire employees based on sex, age, ethnicity, or national origin if there is sufficient proof that the aforementioned qualifications are an essential job duty or bona fide job qualifications. Although Title VII of the Civil Rights Act of 1964 prohibits the employers from </w:t>
      </w:r>
      <w:r w:rsidRPr="007C376C">
        <w:rPr>
          <w:rFonts w:ascii="Times New Roman" w:hAnsi="Times New Roman" w:cs="Times New Roman"/>
          <w:sz w:val="24"/>
          <w:szCs w:val="24"/>
        </w:rPr>
        <w:lastRenderedPageBreak/>
        <w:t>making any form of discrimination against employees, the law provides exemptions where the employer is allowed to discriminate based on the nature or kind of the job</w:t>
      </w:r>
      <w:r w:rsidR="007C376C" w:rsidRPr="007C376C">
        <w:rPr>
          <w:rFonts w:ascii="Times New Roman" w:hAnsi="Times New Roman" w:cs="Times New Roman"/>
          <w:sz w:val="24"/>
          <w:szCs w:val="24"/>
        </w:rPr>
        <w:t xml:space="preserve"> (</w:t>
      </w:r>
      <w:r w:rsidR="007C376C" w:rsidRPr="007C376C">
        <w:rPr>
          <w:rFonts w:ascii="Times New Roman" w:hAnsi="Times New Roman" w:cs="Times New Roman"/>
          <w:color w:val="222222"/>
          <w:sz w:val="24"/>
          <w:szCs w:val="24"/>
          <w:shd w:val="clear" w:color="auto" w:fill="FFFFFF"/>
        </w:rPr>
        <w:t>Schachter, 2013)</w:t>
      </w:r>
      <w:r w:rsidRPr="007C376C">
        <w:rPr>
          <w:rFonts w:ascii="Times New Roman" w:hAnsi="Times New Roman" w:cs="Times New Roman"/>
          <w:sz w:val="24"/>
          <w:szCs w:val="24"/>
        </w:rPr>
        <w:t>.</w:t>
      </w:r>
    </w:p>
    <w:p w:rsidR="00A56418" w:rsidRPr="007C376C" w:rsidRDefault="00A56418"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Bona fide occupational qualification is a term in employment law with several variations depending on the country one is in such as bona fide occupational qualification (BFOQ) in the United States or bona fide occupational requirement (BFOR) in Canada. Basically, it is a quality where an employee is allowed to make reserved considerations when it comes to hiring and retentions decisions in an organization. In another context it would be considered as discrimination as it violates the civil rights employment laws but in this case it is an allowed exemption. In the United States the BFOQ defense is found in both the employment discrimination law and the Title VII of the Civil Rights act of 1964</w:t>
      </w:r>
      <w:r w:rsidR="007C376C" w:rsidRPr="007C376C">
        <w:rPr>
          <w:rFonts w:ascii="Times New Roman" w:hAnsi="Times New Roman" w:cs="Times New Roman"/>
          <w:sz w:val="24"/>
          <w:szCs w:val="24"/>
        </w:rPr>
        <w:t xml:space="preserve"> (</w:t>
      </w:r>
      <w:r w:rsidR="007C376C" w:rsidRPr="007C376C">
        <w:rPr>
          <w:rFonts w:ascii="Times New Roman" w:hAnsi="Times New Roman" w:cs="Times New Roman"/>
          <w:color w:val="222222"/>
          <w:sz w:val="24"/>
          <w:szCs w:val="24"/>
          <w:shd w:val="clear" w:color="auto" w:fill="FFFFFF"/>
        </w:rPr>
        <w:t>Cavico, F. J., &amp; Mujtaba, B. G. (2016)</w:t>
      </w:r>
      <w:r w:rsidRPr="007C376C">
        <w:rPr>
          <w:rFonts w:ascii="Times New Roman" w:hAnsi="Times New Roman" w:cs="Times New Roman"/>
          <w:sz w:val="24"/>
          <w:szCs w:val="24"/>
        </w:rPr>
        <w:t>. Depending on the job description, it allows discriminating against religion, gender, national origin or age but it does not give provision of against race or color as it plays a role in the overall productivity of the occupation.</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 xml:space="preserve">Employers are permitted to value specific candidate qualifications during the candidate pre-employment process. When an employer has to defend against a discrimination claim and attempts to use Bona Fide Occupational Qualifications as a defense claim, they must show that it would be detrimental to the operation of the daily operation of the business to retain or hire a candidate or potential candidate for employment. Thus proving that the reason for disqualification is based on the fact that they would not be able to safely or efficiently perform the required job duties. Also if it affects the essence of the business. Hiring an employee on a prohibited characteristic as such “customer preference” is unlawful. The employer must prove they are attempting to maintain a balance of operational functions within the business. There is a two-prong test process to establish Bona Fide Occupational Qualifications. </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lastRenderedPageBreak/>
        <w:t>What is not allowed are factors based on race, sex, age or national origin under the Civil Rights Act of 1964 Title VII discrimination.</w:t>
      </w:r>
      <w:r w:rsidR="00CC064D" w:rsidRPr="007C376C">
        <w:rPr>
          <w:rFonts w:ascii="Times New Roman" w:hAnsi="Times New Roman" w:cs="Times New Roman"/>
          <w:sz w:val="24"/>
          <w:szCs w:val="24"/>
        </w:rPr>
        <w:t xml:space="preserve"> </w:t>
      </w:r>
      <w:r w:rsidRPr="007C376C">
        <w:rPr>
          <w:rFonts w:ascii="Times New Roman" w:hAnsi="Times New Roman" w:cs="Times New Roman"/>
          <w:sz w:val="24"/>
          <w:szCs w:val="24"/>
        </w:rPr>
        <w:t>There are no exceptions concerning Bona Fide Occupational Qualifications for race discrimination under any circumstances. Keep in mind even a job posting or announcement can violate these laws. By adding comments like “seeking females only” or recent college graduates” can discourage others from applying and is discriminatory</w:t>
      </w:r>
      <w:r w:rsidR="007C376C" w:rsidRPr="007C376C">
        <w:rPr>
          <w:rFonts w:ascii="Times New Roman" w:hAnsi="Times New Roman" w:cs="Times New Roman"/>
          <w:sz w:val="24"/>
          <w:szCs w:val="24"/>
        </w:rPr>
        <w:t xml:space="preserve"> (</w:t>
      </w:r>
      <w:r w:rsidR="007C376C" w:rsidRPr="007C376C">
        <w:rPr>
          <w:rFonts w:ascii="Times New Roman" w:hAnsi="Times New Roman" w:cs="Times New Roman"/>
          <w:color w:val="222222"/>
          <w:sz w:val="24"/>
          <w:szCs w:val="24"/>
          <w:shd w:val="clear" w:color="auto" w:fill="FFFFFF"/>
        </w:rPr>
        <w:t>Monahan, 2013)</w:t>
      </w:r>
      <w:r w:rsidRPr="007C376C">
        <w:rPr>
          <w:rFonts w:ascii="Times New Roman" w:hAnsi="Times New Roman" w:cs="Times New Roman"/>
          <w:sz w:val="24"/>
          <w:szCs w:val="24"/>
        </w:rPr>
        <w:t xml:space="preserve">. </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Here are a few examples of Bona Fide Occupational Qualifications that would not prevail in court.Someone who applies for a position driving a bus which is visually impaired. The candidate does not meet the minimum requirements and would not prevail in a court case filed for discrimination. Candidate applied for, again a bus driver position and is over 40 years old. The employer stated that because of Bona Fide Occupational Qualifications concerning the fact that the older a driver is, the higher the risk of injury and due to the highest degree for the safety of the passengers it was not an age discrimination violation. They felt that if an accident was to occur and the driver needed to attend to the needs of passengers, the driver would be less likely to do so as the driver would be more likely to have traumatic injuries at a higher age</w:t>
      </w:r>
      <w:r w:rsidR="007C376C" w:rsidRPr="007C376C">
        <w:rPr>
          <w:rFonts w:ascii="Times New Roman" w:hAnsi="Times New Roman" w:cs="Times New Roman"/>
          <w:sz w:val="24"/>
          <w:szCs w:val="24"/>
        </w:rPr>
        <w:t xml:space="preserve"> (</w:t>
      </w:r>
      <w:r w:rsidR="007C376C" w:rsidRPr="007C376C">
        <w:rPr>
          <w:rFonts w:ascii="Times New Roman" w:hAnsi="Times New Roman" w:cs="Times New Roman"/>
          <w:color w:val="222222"/>
          <w:sz w:val="24"/>
          <w:szCs w:val="24"/>
          <w:shd w:val="clear" w:color="auto" w:fill="FFFFFF"/>
        </w:rPr>
        <w:t>Manley, 2009)</w:t>
      </w:r>
      <w:r w:rsidRPr="007C376C">
        <w:rPr>
          <w:rFonts w:ascii="Times New Roman" w:hAnsi="Times New Roman" w:cs="Times New Roman"/>
          <w:sz w:val="24"/>
          <w:szCs w:val="24"/>
        </w:rPr>
        <w:t>.</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 xml:space="preserve">Another area that can be translated interestingly is language competency. If a job requires a candidate to be bi-lingual, for example, an ambulance driver in Los Angeles needs to speak Spanish it would not be classified as a race or national origin discrimination violation. Being disqualified because you do not speak Spanish will not hold up in a court of law. The position requires that EMT personnel be able to Spanish speaking personnel to provide proper medical care in a traumatic situation and must be able to communicate with said, injured person.  Without the ability to deliver the level of care is hugely compromised. </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lastRenderedPageBreak/>
        <w:t>Have you ever boarded an airplane and wondered how old the pilot was? It is something to consider. The pilot holds everyone’s life in their hands and potentially hundreds of others if they had an issue that caused an emergency landing that kills farm animals, innocent passengers, and people on the ground and let’s not overlook the pilot that had a heart attack and crashed into the open sea, killing 25 passengers.</w:t>
      </w:r>
    </w:p>
    <w:p w:rsidR="00CC5EB0" w:rsidRPr="007C376C" w:rsidRDefault="00CC5EB0" w:rsidP="007C376C">
      <w:pPr>
        <w:spacing w:before="240" w:line="480" w:lineRule="auto"/>
        <w:ind w:firstLine="720"/>
        <w:jc w:val="both"/>
        <w:rPr>
          <w:rFonts w:ascii="Times New Roman" w:hAnsi="Times New Roman" w:cs="Times New Roman"/>
          <w:sz w:val="24"/>
          <w:szCs w:val="24"/>
        </w:rPr>
      </w:pP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 xml:space="preserve">Of course, we must mention the pilot who was arrested for domestic violence and just a few hours later stole his employers 525 Jet and proceeded to crash it into his own home. The pilot died in the crash and luckily his wife and son were able to escape and survive. How can these types of intentional and unintentional collisions be prevented? Sticking to the standard of psychological testing for pilots and adhere to age restrictions. The psychological testing aspect is an international concern as we hear about a pilot who was deemed in need of psychological support, the German co-pilot who was accused of intentionally crashing an A320 jet into the Swiss Alps killing himself and 150 passengers due to depression that he has suffered since 2009.  All Captains of the sky are to retire from piloting by 60 years old and are more than welcome to enter into a flight engineering position as they hold a wealth of flight and plane information that can determine crash causes and potential changes to airplanes to make them safer for everyone. </w:t>
      </w:r>
    </w:p>
    <w:p w:rsidR="00CC5EB0" w:rsidRPr="007C376C" w:rsidRDefault="00CC5EB0" w:rsidP="007C376C">
      <w:pPr>
        <w:spacing w:before="240" w:line="480" w:lineRule="auto"/>
        <w:jc w:val="both"/>
        <w:rPr>
          <w:rFonts w:ascii="Times New Roman" w:hAnsi="Times New Roman" w:cs="Times New Roman"/>
          <w:sz w:val="24"/>
          <w:szCs w:val="24"/>
        </w:rPr>
      </w:pPr>
      <w:r w:rsidRPr="007C376C">
        <w:rPr>
          <w:rFonts w:ascii="Times New Roman" w:hAnsi="Times New Roman" w:cs="Times New Roman"/>
          <w:sz w:val="24"/>
          <w:szCs w:val="24"/>
        </w:rPr>
        <w:t>In mental health and correction facilities there is a different framework as wards that are gender segregated communal areas should they be required for the safety of everyone, teammates, candidates, and prisoners? In most states, a staff member of the same sex must be on duty in the facility during every shift to attend to bathing, dressing or personal needs</w:t>
      </w:r>
      <w:r w:rsidR="007C376C" w:rsidRPr="007C376C">
        <w:rPr>
          <w:rFonts w:ascii="Times New Roman" w:hAnsi="Times New Roman" w:cs="Times New Roman"/>
          <w:sz w:val="24"/>
          <w:szCs w:val="24"/>
        </w:rPr>
        <w:t xml:space="preserve"> (</w:t>
      </w:r>
      <w:r w:rsidR="007C376C" w:rsidRPr="007C376C">
        <w:rPr>
          <w:rFonts w:ascii="Times New Roman" w:hAnsi="Times New Roman" w:cs="Times New Roman"/>
          <w:color w:val="222222"/>
          <w:sz w:val="24"/>
          <w:szCs w:val="24"/>
          <w:shd w:val="clear" w:color="auto" w:fill="FFFFFF"/>
        </w:rPr>
        <w:t>Massengill, 2007)</w:t>
      </w:r>
      <w:r w:rsidRPr="007C376C">
        <w:rPr>
          <w:rFonts w:ascii="Times New Roman" w:hAnsi="Times New Roman" w:cs="Times New Roman"/>
          <w:sz w:val="24"/>
          <w:szCs w:val="24"/>
        </w:rPr>
        <w:t xml:space="preserve">. </w:t>
      </w:r>
    </w:p>
    <w:p w:rsidR="00CC5EB0" w:rsidRPr="007C376C" w:rsidRDefault="00A56418"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lastRenderedPageBreak/>
        <w:t xml:space="preserve">The Bona Fide Occupational </w:t>
      </w:r>
      <w:r w:rsidR="00882147" w:rsidRPr="007C376C">
        <w:rPr>
          <w:rFonts w:ascii="Times New Roman" w:hAnsi="Times New Roman" w:cs="Times New Roman"/>
          <w:sz w:val="24"/>
          <w:szCs w:val="24"/>
        </w:rPr>
        <w:t>Qualifications principle</w:t>
      </w:r>
      <w:r w:rsidRPr="007C376C">
        <w:rPr>
          <w:rFonts w:ascii="Times New Roman" w:hAnsi="Times New Roman" w:cs="Times New Roman"/>
          <w:sz w:val="24"/>
          <w:szCs w:val="24"/>
        </w:rPr>
        <w:t xml:space="preserve"> takes into consideration the employing </w:t>
      </w:r>
      <w:r w:rsidR="00882147" w:rsidRPr="007C376C">
        <w:rPr>
          <w:rFonts w:ascii="Times New Roman" w:hAnsi="Times New Roman" w:cs="Times New Roman"/>
          <w:sz w:val="24"/>
          <w:szCs w:val="24"/>
        </w:rPr>
        <w:t>of people</w:t>
      </w:r>
      <w:r w:rsidRPr="007C376C">
        <w:rPr>
          <w:rFonts w:ascii="Times New Roman" w:hAnsi="Times New Roman" w:cs="Times New Roman"/>
          <w:sz w:val="24"/>
          <w:szCs w:val="24"/>
        </w:rPr>
        <w:t xml:space="preserve"> focused around race, sex, age, and national root if these attributes are Bona Fide</w:t>
      </w:r>
      <w:r w:rsidR="00882147" w:rsidRPr="007C376C">
        <w:rPr>
          <w:rFonts w:ascii="Times New Roman" w:hAnsi="Times New Roman" w:cs="Times New Roman"/>
          <w:sz w:val="24"/>
          <w:szCs w:val="24"/>
        </w:rPr>
        <w:t xml:space="preserve"> </w:t>
      </w:r>
      <w:r w:rsidRPr="007C376C">
        <w:rPr>
          <w:rFonts w:ascii="Times New Roman" w:hAnsi="Times New Roman" w:cs="Times New Roman"/>
          <w:sz w:val="24"/>
          <w:szCs w:val="24"/>
        </w:rPr>
        <w:t xml:space="preserve">Occupational Qualifications. This is a special case and complete barrier to Title VII of the </w:t>
      </w:r>
      <w:r w:rsidR="00882147" w:rsidRPr="007C376C">
        <w:rPr>
          <w:rFonts w:ascii="Times New Roman" w:hAnsi="Times New Roman" w:cs="Times New Roman"/>
          <w:sz w:val="24"/>
          <w:szCs w:val="24"/>
        </w:rPr>
        <w:t>Civil Rights</w:t>
      </w:r>
      <w:r w:rsidRPr="007C376C">
        <w:rPr>
          <w:rFonts w:ascii="Times New Roman" w:hAnsi="Times New Roman" w:cs="Times New Roman"/>
          <w:sz w:val="24"/>
          <w:szCs w:val="24"/>
        </w:rPr>
        <w:t xml:space="preserve"> Act of 1964 which ensures workers from separation focused around religion, sex, </w:t>
      </w:r>
      <w:r w:rsidR="00882147" w:rsidRPr="007C376C">
        <w:rPr>
          <w:rFonts w:ascii="Times New Roman" w:hAnsi="Times New Roman" w:cs="Times New Roman"/>
          <w:sz w:val="24"/>
          <w:szCs w:val="24"/>
        </w:rPr>
        <w:t>age, national</w:t>
      </w:r>
      <w:r w:rsidRPr="007C376C">
        <w:rPr>
          <w:rFonts w:ascii="Times New Roman" w:hAnsi="Times New Roman" w:cs="Times New Roman"/>
          <w:sz w:val="24"/>
          <w:szCs w:val="24"/>
        </w:rPr>
        <w:t xml:space="preserve"> source and color at the work environment. </w:t>
      </w:r>
      <w:r w:rsidR="00882147" w:rsidRPr="007C376C">
        <w:rPr>
          <w:rFonts w:ascii="Times New Roman" w:hAnsi="Times New Roman" w:cs="Times New Roman"/>
          <w:sz w:val="24"/>
          <w:szCs w:val="24"/>
        </w:rPr>
        <w:t>T</w:t>
      </w:r>
      <w:r w:rsidRPr="007C376C">
        <w:rPr>
          <w:rFonts w:ascii="Times New Roman" w:hAnsi="Times New Roman" w:cs="Times New Roman"/>
          <w:sz w:val="24"/>
          <w:szCs w:val="24"/>
        </w:rPr>
        <w:t xml:space="preserve">o make the barrier of Bona Fide </w:t>
      </w:r>
      <w:r w:rsidR="00882147" w:rsidRPr="007C376C">
        <w:rPr>
          <w:rFonts w:ascii="Times New Roman" w:hAnsi="Times New Roman" w:cs="Times New Roman"/>
          <w:sz w:val="24"/>
          <w:szCs w:val="24"/>
        </w:rPr>
        <w:t>Occupational Qualifications</w:t>
      </w:r>
      <w:r w:rsidRPr="007C376C">
        <w:rPr>
          <w:rFonts w:ascii="Times New Roman" w:hAnsi="Times New Roman" w:cs="Times New Roman"/>
          <w:sz w:val="24"/>
          <w:szCs w:val="24"/>
        </w:rPr>
        <w:t xml:space="preserve">, a manager must demonstrate the prerequisite is important to the achievement </w:t>
      </w:r>
      <w:r w:rsidR="00882147" w:rsidRPr="007C376C">
        <w:rPr>
          <w:rFonts w:ascii="Times New Roman" w:hAnsi="Times New Roman" w:cs="Times New Roman"/>
          <w:sz w:val="24"/>
          <w:szCs w:val="24"/>
        </w:rPr>
        <w:t>of the</w:t>
      </w:r>
      <w:r w:rsidRPr="007C376C">
        <w:rPr>
          <w:rFonts w:ascii="Times New Roman" w:hAnsi="Times New Roman" w:cs="Times New Roman"/>
          <w:sz w:val="24"/>
          <w:szCs w:val="24"/>
        </w:rPr>
        <w:t xml:space="preserve"> business and that a determinable gathering or class of workers would be not able to </w:t>
      </w:r>
      <w:r w:rsidR="00882147" w:rsidRPr="007C376C">
        <w:rPr>
          <w:rFonts w:ascii="Times New Roman" w:hAnsi="Times New Roman" w:cs="Times New Roman"/>
          <w:sz w:val="24"/>
          <w:szCs w:val="24"/>
        </w:rPr>
        <w:t>perform the</w:t>
      </w:r>
      <w:r w:rsidRPr="007C376C">
        <w:rPr>
          <w:rFonts w:ascii="Times New Roman" w:hAnsi="Times New Roman" w:cs="Times New Roman"/>
          <w:sz w:val="24"/>
          <w:szCs w:val="24"/>
        </w:rPr>
        <w:t xml:space="preserve"> employment securely and productively. A management ought to show a need for a </w:t>
      </w:r>
      <w:r w:rsidR="00882147" w:rsidRPr="007C376C">
        <w:rPr>
          <w:rFonts w:ascii="Times New Roman" w:hAnsi="Times New Roman" w:cs="Times New Roman"/>
          <w:sz w:val="24"/>
          <w:szCs w:val="24"/>
        </w:rPr>
        <w:t>certain kind</w:t>
      </w:r>
      <w:r w:rsidRPr="007C376C">
        <w:rPr>
          <w:rFonts w:ascii="Times New Roman" w:hAnsi="Times New Roman" w:cs="Times New Roman"/>
          <w:sz w:val="24"/>
          <w:szCs w:val="24"/>
        </w:rPr>
        <w:t xml:space="preserve"> of specialists on the grounds that everything others don't have notable attributes </w:t>
      </w:r>
      <w:r w:rsidR="00882147" w:rsidRPr="007C376C">
        <w:rPr>
          <w:rFonts w:ascii="Times New Roman" w:hAnsi="Times New Roman" w:cs="Times New Roman"/>
          <w:sz w:val="24"/>
          <w:szCs w:val="24"/>
        </w:rPr>
        <w:t>important for</w:t>
      </w:r>
      <w:r w:rsidRPr="007C376C">
        <w:rPr>
          <w:rFonts w:ascii="Times New Roman" w:hAnsi="Times New Roman" w:cs="Times New Roman"/>
          <w:sz w:val="24"/>
          <w:szCs w:val="24"/>
        </w:rPr>
        <w:t xml:space="preserve"> business achievement. However the head honcho's inspiration for barring the ensured class </w:t>
      </w:r>
      <w:r w:rsidR="00882147" w:rsidRPr="007C376C">
        <w:rPr>
          <w:rFonts w:ascii="Times New Roman" w:hAnsi="Times New Roman" w:cs="Times New Roman"/>
          <w:sz w:val="24"/>
          <w:szCs w:val="24"/>
        </w:rPr>
        <w:t>is not</w:t>
      </w:r>
      <w:r w:rsidRPr="007C376C">
        <w:rPr>
          <w:rFonts w:ascii="Times New Roman" w:hAnsi="Times New Roman" w:cs="Times New Roman"/>
          <w:sz w:val="24"/>
          <w:szCs w:val="24"/>
        </w:rPr>
        <w:t xml:space="preserve"> huge in assessing the BFOQ safeguard.</w:t>
      </w:r>
    </w:p>
    <w:p w:rsidR="00CC5EB0" w:rsidRPr="007C376C" w:rsidRDefault="00044B3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A</w:t>
      </w:r>
      <w:r w:rsidR="00CC5EB0" w:rsidRPr="007C376C">
        <w:rPr>
          <w:rFonts w:ascii="Times New Roman" w:hAnsi="Times New Roman" w:cs="Times New Roman"/>
          <w:sz w:val="24"/>
          <w:szCs w:val="24"/>
        </w:rPr>
        <w:t>nyone asserting a BFOQ defense has the burden of proving that (1) the age limit is reasonably necessary to the essence of the business, and either (2) that all or substantially all individuals excluded from the job involved are in fact disqualified, or (3) that some of the individuals so excluded possess a disqualifying trait that cannot be ascertained except by reference to age.4 0</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The EEOC regulation go</w:t>
      </w:r>
      <w:r w:rsidR="00882147" w:rsidRPr="007C376C">
        <w:rPr>
          <w:rFonts w:ascii="Times New Roman" w:hAnsi="Times New Roman" w:cs="Times New Roman"/>
          <w:sz w:val="24"/>
          <w:szCs w:val="24"/>
        </w:rPr>
        <w:t>es on to state that " i</w:t>
      </w:r>
      <w:r w:rsidRPr="007C376C">
        <w:rPr>
          <w:rFonts w:ascii="Times New Roman" w:hAnsi="Times New Roman" w:cs="Times New Roman"/>
          <w:sz w:val="24"/>
          <w:szCs w:val="24"/>
        </w:rPr>
        <w:t>f the employer's objective in asserting a BFOQ is the goal of public safety, the employer must prove that the challenged practice does indeed effectuate that goal and that there is no acceptable alternative which would better advance or equally advance it wi</w:t>
      </w:r>
      <w:r w:rsidR="00882147" w:rsidRPr="007C376C">
        <w:rPr>
          <w:rFonts w:ascii="Times New Roman" w:hAnsi="Times New Roman" w:cs="Times New Roman"/>
          <w:sz w:val="24"/>
          <w:szCs w:val="24"/>
        </w:rPr>
        <w:t>th less discriminatory impact."</w:t>
      </w:r>
      <w:r w:rsidR="007C376C" w:rsidRPr="007C376C">
        <w:rPr>
          <w:rFonts w:ascii="Times New Roman" w:hAnsi="Times New Roman" w:cs="Times New Roman"/>
          <w:sz w:val="24"/>
          <w:szCs w:val="24"/>
        </w:rPr>
        <w:t xml:space="preserve"> (</w:t>
      </w:r>
      <w:r w:rsidR="007C376C" w:rsidRPr="007C376C">
        <w:rPr>
          <w:rFonts w:ascii="Times New Roman" w:hAnsi="Times New Roman" w:cs="Times New Roman"/>
          <w:color w:val="222222"/>
          <w:sz w:val="24"/>
          <w:szCs w:val="24"/>
          <w:shd w:val="clear" w:color="auto" w:fill="FFFFFF"/>
        </w:rPr>
        <w:t>Rhodes, 2010).</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 xml:space="preserve">We all know Hooters Restaurants, and the costumes the require employees to wear. They are allowed to hire busty, physically fit females who are extremely attractive based on Bona Fide </w:t>
      </w:r>
      <w:r w:rsidRPr="007C376C">
        <w:rPr>
          <w:rFonts w:ascii="Times New Roman" w:hAnsi="Times New Roman" w:cs="Times New Roman"/>
          <w:sz w:val="24"/>
          <w:szCs w:val="24"/>
        </w:rPr>
        <w:lastRenderedPageBreak/>
        <w:t xml:space="preserve">Occupational Qualifications it is legal as it would undermine the essence of the business. Imagine going into Hooters, and a 400-pound guy came to your table to take your order? In those adorable costumes. Not at all what you expected? </w:t>
      </w:r>
    </w:p>
    <w:p w:rsidR="00CC5EB0" w:rsidRPr="007C376C" w:rsidRDefault="00CC5EB0" w:rsidP="007C376C">
      <w:pPr>
        <w:spacing w:before="240" w:line="480" w:lineRule="auto"/>
        <w:ind w:firstLine="720"/>
        <w:jc w:val="both"/>
        <w:rPr>
          <w:rFonts w:ascii="Times New Roman" w:hAnsi="Times New Roman" w:cs="Times New Roman"/>
          <w:sz w:val="24"/>
          <w:szCs w:val="24"/>
        </w:rPr>
      </w:pP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 xml:space="preserve">In Andrea’s case it is understandable how she would consider this as a discrimination claim, but at the same time, the employer requires employees to come in contact with violent, aggressive and seriously inconsiderate of others well-being. Convicted rapists, murders, kidnappers and many call the prisons slaughterhouses and palaces of pain. Therefore the Bona Fide Occupational Qualifications does apply as Andrea would put herself and everyone else in imminent danger when not if but when a volatile act would occur. </w:t>
      </w:r>
    </w:p>
    <w:p w:rsidR="00CC5EB0" w:rsidRPr="007C376C" w:rsidRDefault="00CC5EB0" w:rsidP="007C376C">
      <w:pPr>
        <w:spacing w:before="240" w:line="480" w:lineRule="auto"/>
        <w:ind w:firstLine="720"/>
        <w:jc w:val="both"/>
        <w:rPr>
          <w:rFonts w:ascii="Times New Roman" w:hAnsi="Times New Roman" w:cs="Times New Roman"/>
          <w:sz w:val="24"/>
          <w:szCs w:val="24"/>
        </w:rPr>
      </w:pPr>
      <w:r w:rsidRPr="007C376C">
        <w:rPr>
          <w:rFonts w:ascii="Times New Roman" w:hAnsi="Times New Roman" w:cs="Times New Roman"/>
          <w:sz w:val="24"/>
          <w:szCs w:val="24"/>
        </w:rPr>
        <w:t>I do not feel Andrea would prevail in court by a discrimination claim. If she has a crafty attorney, she might be able to pull it off. If the attorney shows that she can prove that Andrea can perform the required job duties sufficiently there may be a chance to gain a positive outcome in her case. My advice is to apply to other positions in the correctional realm that does not have the restrictions the corrections officer does.</w:t>
      </w:r>
    </w:p>
    <w:p w:rsidR="00CC5EB0" w:rsidRDefault="00CC5EB0" w:rsidP="007C376C">
      <w:pPr>
        <w:spacing w:before="240" w:line="480" w:lineRule="auto"/>
        <w:jc w:val="both"/>
        <w:rPr>
          <w:rFonts w:ascii="Times New Roman" w:hAnsi="Times New Roman" w:cs="Times New Roman"/>
          <w:sz w:val="24"/>
          <w:szCs w:val="24"/>
        </w:rPr>
      </w:pPr>
    </w:p>
    <w:p w:rsidR="007C376C" w:rsidRDefault="007C376C" w:rsidP="007C376C">
      <w:pPr>
        <w:spacing w:before="240" w:line="480" w:lineRule="auto"/>
        <w:jc w:val="both"/>
        <w:rPr>
          <w:rFonts w:ascii="Times New Roman" w:hAnsi="Times New Roman" w:cs="Times New Roman"/>
          <w:sz w:val="24"/>
          <w:szCs w:val="24"/>
        </w:rPr>
      </w:pPr>
    </w:p>
    <w:p w:rsidR="007C376C" w:rsidRDefault="007C376C" w:rsidP="007C376C">
      <w:pPr>
        <w:spacing w:before="240" w:line="480" w:lineRule="auto"/>
        <w:jc w:val="both"/>
        <w:rPr>
          <w:rFonts w:ascii="Times New Roman" w:hAnsi="Times New Roman" w:cs="Times New Roman"/>
          <w:sz w:val="24"/>
          <w:szCs w:val="24"/>
        </w:rPr>
      </w:pPr>
    </w:p>
    <w:p w:rsidR="007C376C" w:rsidRDefault="007C376C" w:rsidP="007C376C">
      <w:pPr>
        <w:spacing w:before="240" w:line="480" w:lineRule="auto"/>
        <w:jc w:val="both"/>
        <w:rPr>
          <w:rFonts w:ascii="Times New Roman" w:hAnsi="Times New Roman" w:cs="Times New Roman"/>
          <w:sz w:val="24"/>
          <w:szCs w:val="24"/>
        </w:rPr>
      </w:pPr>
    </w:p>
    <w:p w:rsidR="007C376C" w:rsidRPr="007C376C" w:rsidRDefault="007C376C" w:rsidP="007C376C">
      <w:pPr>
        <w:spacing w:before="240" w:line="480" w:lineRule="auto"/>
        <w:jc w:val="both"/>
        <w:rPr>
          <w:rFonts w:ascii="Times New Roman" w:hAnsi="Times New Roman" w:cs="Times New Roman"/>
          <w:sz w:val="24"/>
          <w:szCs w:val="24"/>
        </w:rPr>
      </w:pPr>
    </w:p>
    <w:p w:rsidR="00CC5EB0" w:rsidRPr="007C376C" w:rsidRDefault="00CC064D" w:rsidP="007C376C">
      <w:pPr>
        <w:spacing w:before="240" w:line="480" w:lineRule="auto"/>
        <w:jc w:val="both"/>
        <w:rPr>
          <w:rFonts w:ascii="Times New Roman" w:hAnsi="Times New Roman" w:cs="Times New Roman"/>
          <w:sz w:val="24"/>
          <w:szCs w:val="24"/>
        </w:rPr>
      </w:pPr>
      <w:r w:rsidRPr="007C376C">
        <w:rPr>
          <w:rFonts w:ascii="Times New Roman" w:hAnsi="Times New Roman" w:cs="Times New Roman"/>
          <w:sz w:val="24"/>
          <w:szCs w:val="24"/>
        </w:rPr>
        <w:lastRenderedPageBreak/>
        <w:t xml:space="preserve">References </w:t>
      </w:r>
    </w:p>
    <w:p w:rsidR="00CC064D" w:rsidRPr="007C376C" w:rsidRDefault="00710140" w:rsidP="007C376C">
      <w:pPr>
        <w:spacing w:before="240" w:line="480" w:lineRule="auto"/>
        <w:jc w:val="both"/>
        <w:rPr>
          <w:rFonts w:ascii="Times New Roman" w:hAnsi="Times New Roman" w:cs="Times New Roman"/>
          <w:color w:val="222222"/>
          <w:sz w:val="24"/>
          <w:szCs w:val="24"/>
          <w:shd w:val="clear" w:color="auto" w:fill="FFFFFF"/>
        </w:rPr>
      </w:pPr>
      <w:r w:rsidRPr="007C376C">
        <w:rPr>
          <w:rFonts w:ascii="Times New Roman" w:hAnsi="Times New Roman" w:cs="Times New Roman"/>
          <w:color w:val="222222"/>
          <w:sz w:val="24"/>
          <w:szCs w:val="24"/>
          <w:shd w:val="clear" w:color="auto" w:fill="FFFFFF"/>
        </w:rPr>
        <w:t>Massengill, D. (2007). Gender as bona fide occupational qualification. </w:t>
      </w:r>
      <w:r w:rsidRPr="007C376C">
        <w:rPr>
          <w:rFonts w:ascii="Times New Roman" w:hAnsi="Times New Roman" w:cs="Times New Roman"/>
          <w:i/>
          <w:iCs/>
          <w:color w:val="222222"/>
          <w:sz w:val="24"/>
          <w:szCs w:val="24"/>
          <w:shd w:val="clear" w:color="auto" w:fill="FFFFFF"/>
        </w:rPr>
        <w:t>EMPLOYEE RELATIONS LAW JOURNAL</w:t>
      </w:r>
      <w:r w:rsidRPr="007C376C">
        <w:rPr>
          <w:rFonts w:ascii="Times New Roman" w:hAnsi="Times New Roman" w:cs="Times New Roman"/>
          <w:color w:val="222222"/>
          <w:sz w:val="24"/>
          <w:szCs w:val="24"/>
          <w:shd w:val="clear" w:color="auto" w:fill="FFFFFF"/>
        </w:rPr>
        <w:t>, </w:t>
      </w:r>
      <w:r w:rsidRPr="007C376C">
        <w:rPr>
          <w:rFonts w:ascii="Times New Roman" w:hAnsi="Times New Roman" w:cs="Times New Roman"/>
          <w:i/>
          <w:iCs/>
          <w:color w:val="222222"/>
          <w:sz w:val="24"/>
          <w:szCs w:val="24"/>
          <w:shd w:val="clear" w:color="auto" w:fill="FFFFFF"/>
        </w:rPr>
        <w:t>32</w:t>
      </w:r>
      <w:r w:rsidRPr="007C376C">
        <w:rPr>
          <w:rFonts w:ascii="Times New Roman" w:hAnsi="Times New Roman" w:cs="Times New Roman"/>
          <w:color w:val="222222"/>
          <w:sz w:val="24"/>
          <w:szCs w:val="24"/>
          <w:shd w:val="clear" w:color="auto" w:fill="FFFFFF"/>
        </w:rPr>
        <w:t>(4), 52-65.</w:t>
      </w:r>
    </w:p>
    <w:p w:rsidR="00710140" w:rsidRPr="007C376C" w:rsidRDefault="00710140" w:rsidP="007C376C">
      <w:pPr>
        <w:spacing w:before="240" w:line="480" w:lineRule="auto"/>
        <w:jc w:val="both"/>
        <w:rPr>
          <w:rFonts w:ascii="Times New Roman" w:hAnsi="Times New Roman" w:cs="Times New Roman"/>
          <w:color w:val="222222"/>
          <w:sz w:val="24"/>
          <w:szCs w:val="24"/>
          <w:shd w:val="clear" w:color="auto" w:fill="FFFFFF"/>
        </w:rPr>
      </w:pPr>
      <w:r w:rsidRPr="007C376C">
        <w:rPr>
          <w:rFonts w:ascii="Times New Roman" w:hAnsi="Times New Roman" w:cs="Times New Roman"/>
          <w:color w:val="222222"/>
          <w:sz w:val="24"/>
          <w:szCs w:val="24"/>
          <w:shd w:val="clear" w:color="auto" w:fill="FFFFFF"/>
        </w:rPr>
        <w:t>Rhodes, K. B. (2010). Defending ENDA: The Ramifications of Omitting the BFOQ Defense in the Employment Non-Discrimination Act. </w:t>
      </w:r>
      <w:r w:rsidRPr="007C376C">
        <w:rPr>
          <w:rFonts w:ascii="Times New Roman" w:hAnsi="Times New Roman" w:cs="Times New Roman"/>
          <w:i/>
          <w:iCs/>
          <w:color w:val="222222"/>
          <w:sz w:val="24"/>
          <w:szCs w:val="24"/>
          <w:shd w:val="clear" w:color="auto" w:fill="FFFFFF"/>
        </w:rPr>
        <w:t>Law &amp; Sexuality: Rev. Lesbian, Gay, Bisexual &amp; Transgender Legal Issues</w:t>
      </w:r>
      <w:r w:rsidRPr="007C376C">
        <w:rPr>
          <w:rFonts w:ascii="Times New Roman" w:hAnsi="Times New Roman" w:cs="Times New Roman"/>
          <w:color w:val="222222"/>
          <w:sz w:val="24"/>
          <w:szCs w:val="24"/>
          <w:shd w:val="clear" w:color="auto" w:fill="FFFFFF"/>
        </w:rPr>
        <w:t>, </w:t>
      </w:r>
      <w:r w:rsidRPr="007C376C">
        <w:rPr>
          <w:rFonts w:ascii="Times New Roman" w:hAnsi="Times New Roman" w:cs="Times New Roman"/>
          <w:i/>
          <w:iCs/>
          <w:color w:val="222222"/>
          <w:sz w:val="24"/>
          <w:szCs w:val="24"/>
          <w:shd w:val="clear" w:color="auto" w:fill="FFFFFF"/>
        </w:rPr>
        <w:t>19</w:t>
      </w:r>
      <w:r w:rsidRPr="007C376C">
        <w:rPr>
          <w:rFonts w:ascii="Times New Roman" w:hAnsi="Times New Roman" w:cs="Times New Roman"/>
          <w:color w:val="222222"/>
          <w:sz w:val="24"/>
          <w:szCs w:val="24"/>
          <w:shd w:val="clear" w:color="auto" w:fill="FFFFFF"/>
        </w:rPr>
        <w:t>, 1.</w:t>
      </w:r>
    </w:p>
    <w:p w:rsidR="00710140" w:rsidRPr="007C376C" w:rsidRDefault="007C376C" w:rsidP="007C376C">
      <w:pPr>
        <w:spacing w:before="240" w:line="480" w:lineRule="auto"/>
        <w:jc w:val="both"/>
        <w:rPr>
          <w:rFonts w:ascii="Times New Roman" w:hAnsi="Times New Roman" w:cs="Times New Roman"/>
          <w:color w:val="222222"/>
          <w:sz w:val="24"/>
          <w:szCs w:val="24"/>
          <w:shd w:val="clear" w:color="auto" w:fill="FFFFFF"/>
        </w:rPr>
      </w:pPr>
      <w:r w:rsidRPr="007C376C">
        <w:rPr>
          <w:rFonts w:ascii="Times New Roman" w:hAnsi="Times New Roman" w:cs="Times New Roman"/>
          <w:color w:val="222222"/>
          <w:sz w:val="24"/>
          <w:szCs w:val="24"/>
          <w:shd w:val="clear" w:color="auto" w:fill="FFFFFF"/>
        </w:rPr>
        <w:t>Cavico, F. J., &amp; Mujtaba, B. G. (2016). The Bona Fide Occupational Qualification (BFOQ) Defense in Employment Discrimination: A Narrow and Limited Justification Exception. </w:t>
      </w:r>
      <w:r w:rsidRPr="007C376C">
        <w:rPr>
          <w:rFonts w:ascii="Times New Roman" w:hAnsi="Times New Roman" w:cs="Times New Roman"/>
          <w:i/>
          <w:iCs/>
          <w:color w:val="222222"/>
          <w:sz w:val="24"/>
          <w:szCs w:val="24"/>
          <w:shd w:val="clear" w:color="auto" w:fill="FFFFFF"/>
        </w:rPr>
        <w:t>Journal of Business Studies Quarterly</w:t>
      </w:r>
      <w:r w:rsidRPr="007C376C">
        <w:rPr>
          <w:rFonts w:ascii="Times New Roman" w:hAnsi="Times New Roman" w:cs="Times New Roman"/>
          <w:color w:val="222222"/>
          <w:sz w:val="24"/>
          <w:szCs w:val="24"/>
          <w:shd w:val="clear" w:color="auto" w:fill="FFFFFF"/>
        </w:rPr>
        <w:t>, </w:t>
      </w:r>
      <w:r w:rsidRPr="007C376C">
        <w:rPr>
          <w:rFonts w:ascii="Times New Roman" w:hAnsi="Times New Roman" w:cs="Times New Roman"/>
          <w:i/>
          <w:iCs/>
          <w:color w:val="222222"/>
          <w:sz w:val="24"/>
          <w:szCs w:val="24"/>
          <w:shd w:val="clear" w:color="auto" w:fill="FFFFFF"/>
        </w:rPr>
        <w:t>7</w:t>
      </w:r>
      <w:r w:rsidRPr="007C376C">
        <w:rPr>
          <w:rFonts w:ascii="Times New Roman" w:hAnsi="Times New Roman" w:cs="Times New Roman"/>
          <w:color w:val="222222"/>
          <w:sz w:val="24"/>
          <w:szCs w:val="24"/>
          <w:shd w:val="clear" w:color="auto" w:fill="FFFFFF"/>
        </w:rPr>
        <w:t>(4), 15.</w:t>
      </w:r>
    </w:p>
    <w:p w:rsidR="007C376C" w:rsidRPr="007C376C" w:rsidRDefault="007C376C" w:rsidP="007C376C">
      <w:pPr>
        <w:spacing w:before="240" w:line="480" w:lineRule="auto"/>
        <w:jc w:val="both"/>
        <w:rPr>
          <w:rFonts w:ascii="Times New Roman" w:hAnsi="Times New Roman" w:cs="Times New Roman"/>
          <w:color w:val="222222"/>
          <w:sz w:val="24"/>
          <w:szCs w:val="24"/>
          <w:shd w:val="clear" w:color="auto" w:fill="FFFFFF"/>
        </w:rPr>
      </w:pPr>
      <w:r w:rsidRPr="007C376C">
        <w:rPr>
          <w:rFonts w:ascii="Times New Roman" w:hAnsi="Times New Roman" w:cs="Times New Roman"/>
          <w:color w:val="222222"/>
          <w:sz w:val="24"/>
          <w:szCs w:val="24"/>
          <w:shd w:val="clear" w:color="auto" w:fill="FFFFFF"/>
        </w:rPr>
        <w:t>Manley, K. (2009). The BFOQ defense: Title VII's concession to gender discrimination. </w:t>
      </w:r>
      <w:r w:rsidRPr="007C376C">
        <w:rPr>
          <w:rFonts w:ascii="Times New Roman" w:hAnsi="Times New Roman" w:cs="Times New Roman"/>
          <w:i/>
          <w:iCs/>
          <w:color w:val="222222"/>
          <w:sz w:val="24"/>
          <w:szCs w:val="24"/>
          <w:shd w:val="clear" w:color="auto" w:fill="FFFFFF"/>
        </w:rPr>
        <w:t>Duke J. Gender L. &amp; Pol'y</w:t>
      </w:r>
      <w:r w:rsidRPr="007C376C">
        <w:rPr>
          <w:rFonts w:ascii="Times New Roman" w:hAnsi="Times New Roman" w:cs="Times New Roman"/>
          <w:color w:val="222222"/>
          <w:sz w:val="24"/>
          <w:szCs w:val="24"/>
          <w:shd w:val="clear" w:color="auto" w:fill="FFFFFF"/>
        </w:rPr>
        <w:t>, </w:t>
      </w:r>
      <w:r w:rsidRPr="007C376C">
        <w:rPr>
          <w:rFonts w:ascii="Times New Roman" w:hAnsi="Times New Roman" w:cs="Times New Roman"/>
          <w:i/>
          <w:iCs/>
          <w:color w:val="222222"/>
          <w:sz w:val="24"/>
          <w:szCs w:val="24"/>
          <w:shd w:val="clear" w:color="auto" w:fill="FFFFFF"/>
        </w:rPr>
        <w:t>16</w:t>
      </w:r>
      <w:r w:rsidRPr="007C376C">
        <w:rPr>
          <w:rFonts w:ascii="Times New Roman" w:hAnsi="Times New Roman" w:cs="Times New Roman"/>
          <w:color w:val="222222"/>
          <w:sz w:val="24"/>
          <w:szCs w:val="24"/>
          <w:shd w:val="clear" w:color="auto" w:fill="FFFFFF"/>
        </w:rPr>
        <w:t>, 169.</w:t>
      </w:r>
    </w:p>
    <w:p w:rsidR="007C376C" w:rsidRPr="007C376C" w:rsidRDefault="007C376C" w:rsidP="007C376C">
      <w:pPr>
        <w:spacing w:before="240" w:line="480" w:lineRule="auto"/>
        <w:jc w:val="both"/>
        <w:rPr>
          <w:rFonts w:ascii="Times New Roman" w:hAnsi="Times New Roman" w:cs="Times New Roman"/>
          <w:color w:val="222222"/>
          <w:sz w:val="24"/>
          <w:szCs w:val="24"/>
          <w:shd w:val="clear" w:color="auto" w:fill="FFFFFF"/>
        </w:rPr>
      </w:pPr>
      <w:r w:rsidRPr="007C376C">
        <w:rPr>
          <w:rFonts w:ascii="Times New Roman" w:hAnsi="Times New Roman" w:cs="Times New Roman"/>
          <w:color w:val="222222"/>
          <w:sz w:val="24"/>
          <w:szCs w:val="24"/>
          <w:shd w:val="clear" w:color="auto" w:fill="FFFFFF"/>
        </w:rPr>
        <w:t>Schachter, H. L. (2013). Constructing Age through Bona Fide Occupational Qualifications: De Jure Discrimination's Last Stand?. </w:t>
      </w:r>
      <w:r w:rsidRPr="007C376C">
        <w:rPr>
          <w:rFonts w:ascii="Times New Roman" w:hAnsi="Times New Roman" w:cs="Times New Roman"/>
          <w:i/>
          <w:iCs/>
          <w:color w:val="222222"/>
          <w:sz w:val="24"/>
          <w:szCs w:val="24"/>
          <w:shd w:val="clear" w:color="auto" w:fill="FFFFFF"/>
        </w:rPr>
        <w:t>Public Administration Quarterly</w:t>
      </w:r>
      <w:r w:rsidRPr="007C376C">
        <w:rPr>
          <w:rFonts w:ascii="Times New Roman" w:hAnsi="Times New Roman" w:cs="Times New Roman"/>
          <w:color w:val="222222"/>
          <w:sz w:val="24"/>
          <w:szCs w:val="24"/>
          <w:shd w:val="clear" w:color="auto" w:fill="FFFFFF"/>
        </w:rPr>
        <w:t>, 373-392.</w:t>
      </w:r>
    </w:p>
    <w:p w:rsidR="007C376C" w:rsidRPr="007C376C" w:rsidRDefault="007C376C" w:rsidP="007C376C">
      <w:pPr>
        <w:spacing w:before="240" w:line="480" w:lineRule="auto"/>
        <w:jc w:val="both"/>
        <w:rPr>
          <w:rFonts w:ascii="Times New Roman" w:hAnsi="Times New Roman" w:cs="Times New Roman"/>
          <w:sz w:val="24"/>
          <w:szCs w:val="24"/>
        </w:rPr>
      </w:pPr>
      <w:r w:rsidRPr="007C376C">
        <w:rPr>
          <w:rFonts w:ascii="Times New Roman" w:hAnsi="Times New Roman" w:cs="Times New Roman"/>
          <w:color w:val="222222"/>
          <w:sz w:val="24"/>
          <w:szCs w:val="24"/>
          <w:shd w:val="clear" w:color="auto" w:fill="FFFFFF"/>
        </w:rPr>
        <w:t>Monahan, C. (2013). The Failure of the Bona Fide Occupational Qualification in Cross</w:t>
      </w:r>
      <w:r w:rsidRPr="007C376C">
        <w:rPr>
          <w:rFonts w:ascii="Cambria Math" w:hAnsi="Cambria Math" w:cs="Times New Roman"/>
          <w:color w:val="222222"/>
          <w:sz w:val="24"/>
          <w:szCs w:val="24"/>
          <w:shd w:val="clear" w:color="auto" w:fill="FFFFFF"/>
        </w:rPr>
        <w:t>‐</w:t>
      </w:r>
      <w:r w:rsidRPr="007C376C">
        <w:rPr>
          <w:rFonts w:ascii="Times New Roman" w:hAnsi="Times New Roman" w:cs="Times New Roman"/>
          <w:color w:val="222222"/>
          <w:sz w:val="24"/>
          <w:szCs w:val="24"/>
          <w:shd w:val="clear" w:color="auto" w:fill="FFFFFF"/>
        </w:rPr>
        <w:t>Gender Prison Guard Cases: A Problem beyond Equal Employment Opportunity. </w:t>
      </w:r>
      <w:r w:rsidRPr="007C376C">
        <w:rPr>
          <w:rFonts w:ascii="Times New Roman" w:hAnsi="Times New Roman" w:cs="Times New Roman"/>
          <w:i/>
          <w:iCs/>
          <w:color w:val="222222"/>
          <w:sz w:val="24"/>
          <w:szCs w:val="24"/>
          <w:shd w:val="clear" w:color="auto" w:fill="FFFFFF"/>
        </w:rPr>
        <w:t>Hypatia</w:t>
      </w:r>
      <w:r w:rsidRPr="007C376C">
        <w:rPr>
          <w:rFonts w:ascii="Times New Roman" w:hAnsi="Times New Roman" w:cs="Times New Roman"/>
          <w:color w:val="222222"/>
          <w:sz w:val="24"/>
          <w:szCs w:val="24"/>
          <w:shd w:val="clear" w:color="auto" w:fill="FFFFFF"/>
        </w:rPr>
        <w:t>, </w:t>
      </w:r>
      <w:r w:rsidRPr="007C376C">
        <w:rPr>
          <w:rFonts w:ascii="Times New Roman" w:hAnsi="Times New Roman" w:cs="Times New Roman"/>
          <w:i/>
          <w:iCs/>
          <w:color w:val="222222"/>
          <w:sz w:val="24"/>
          <w:szCs w:val="24"/>
          <w:shd w:val="clear" w:color="auto" w:fill="FFFFFF"/>
        </w:rPr>
        <w:t>28</w:t>
      </w:r>
      <w:r w:rsidRPr="007C376C">
        <w:rPr>
          <w:rFonts w:ascii="Times New Roman" w:hAnsi="Times New Roman" w:cs="Times New Roman"/>
          <w:color w:val="222222"/>
          <w:sz w:val="24"/>
          <w:szCs w:val="24"/>
          <w:shd w:val="clear" w:color="auto" w:fill="FFFFFF"/>
        </w:rPr>
        <w:t>(1), 101-121.</w:t>
      </w:r>
    </w:p>
    <w:p w:rsidR="006374BA" w:rsidRPr="007C376C" w:rsidRDefault="006374BA" w:rsidP="007C376C">
      <w:pPr>
        <w:spacing w:before="240" w:line="480" w:lineRule="auto"/>
        <w:jc w:val="both"/>
        <w:rPr>
          <w:rFonts w:ascii="Times New Roman" w:hAnsi="Times New Roman" w:cs="Times New Roman"/>
          <w:sz w:val="24"/>
          <w:szCs w:val="24"/>
        </w:rPr>
      </w:pPr>
    </w:p>
    <w:sectPr w:rsidR="006374BA" w:rsidRPr="007C376C" w:rsidSect="00536C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7471" w:rsidRDefault="000D7471" w:rsidP="000F7007">
      <w:pPr>
        <w:spacing w:after="0" w:line="240" w:lineRule="auto"/>
      </w:pPr>
      <w:r>
        <w:separator/>
      </w:r>
    </w:p>
  </w:endnote>
  <w:endnote w:type="continuationSeparator" w:id="1">
    <w:p w:rsidR="000D7471" w:rsidRDefault="000D7471" w:rsidP="000F70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7471" w:rsidRDefault="000D7471" w:rsidP="000F7007">
      <w:pPr>
        <w:spacing w:after="0" w:line="240" w:lineRule="auto"/>
      </w:pPr>
      <w:r>
        <w:separator/>
      </w:r>
    </w:p>
  </w:footnote>
  <w:footnote w:type="continuationSeparator" w:id="1">
    <w:p w:rsidR="000D7471" w:rsidRDefault="000D7471" w:rsidP="000F70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09933469"/>
      <w:docPartObj>
        <w:docPartGallery w:val="Page Numbers (Top of Page)"/>
        <w:docPartUnique/>
      </w:docPartObj>
    </w:sdtPr>
    <w:sdtEndPr>
      <w:rPr>
        <w:noProof/>
      </w:rPr>
    </w:sdtEndPr>
    <w:sdtContent>
      <w:p w:rsidR="000F7007" w:rsidRPr="000F7007" w:rsidRDefault="00882147" w:rsidP="00CC5EB0">
        <w:pPr>
          <w:spacing w:after="0" w:line="480" w:lineRule="auto"/>
          <w:rPr>
            <w:rFonts w:ascii="Times New Roman" w:hAnsi="Times New Roman" w:cs="Times New Roman"/>
            <w:sz w:val="24"/>
            <w:szCs w:val="24"/>
          </w:rPr>
        </w:pPr>
        <w:r w:rsidRPr="00CC5EB0">
          <w:rPr>
            <w:rFonts w:ascii="Times New Roman" w:hAnsi="Times New Roman" w:cs="Times New Roman"/>
            <w:sz w:val="24"/>
            <w:szCs w:val="24"/>
          </w:rPr>
          <w:t>BONA FIDE OCCUPATIONAL QUALIFICATIONS</w:t>
        </w:r>
        <w:r w:rsidR="00CC5EB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F7007">
          <w:rPr>
            <w:rFonts w:ascii="Times New Roman" w:hAnsi="Times New Roman" w:cs="Times New Roman"/>
            <w:sz w:val="24"/>
            <w:szCs w:val="24"/>
          </w:rPr>
          <w:tab/>
        </w:r>
        <w:r w:rsidR="000F7007">
          <w:rPr>
            <w:rFonts w:ascii="Times New Roman" w:hAnsi="Times New Roman" w:cs="Times New Roman"/>
            <w:sz w:val="24"/>
            <w:szCs w:val="24"/>
          </w:rPr>
          <w:tab/>
        </w:r>
        <w:r w:rsidR="00073DBC" w:rsidRPr="000F7007">
          <w:rPr>
            <w:rFonts w:ascii="Times New Roman" w:hAnsi="Times New Roman" w:cs="Times New Roman"/>
            <w:sz w:val="24"/>
            <w:szCs w:val="24"/>
          </w:rPr>
          <w:fldChar w:fldCharType="begin"/>
        </w:r>
        <w:r w:rsidR="000F7007" w:rsidRPr="000F7007">
          <w:rPr>
            <w:rFonts w:ascii="Times New Roman" w:hAnsi="Times New Roman" w:cs="Times New Roman"/>
            <w:sz w:val="24"/>
            <w:szCs w:val="24"/>
          </w:rPr>
          <w:instrText xml:space="preserve"> PAGE   \* MERGEFORMAT </w:instrText>
        </w:r>
        <w:r w:rsidR="00073DBC" w:rsidRPr="000F7007">
          <w:rPr>
            <w:rFonts w:ascii="Times New Roman" w:hAnsi="Times New Roman" w:cs="Times New Roman"/>
            <w:sz w:val="24"/>
            <w:szCs w:val="24"/>
          </w:rPr>
          <w:fldChar w:fldCharType="separate"/>
        </w:r>
        <w:r w:rsidR="007C376C">
          <w:rPr>
            <w:rFonts w:ascii="Times New Roman" w:hAnsi="Times New Roman" w:cs="Times New Roman"/>
            <w:noProof/>
            <w:sz w:val="24"/>
            <w:szCs w:val="24"/>
          </w:rPr>
          <w:t>8</w:t>
        </w:r>
        <w:r w:rsidR="00073DBC" w:rsidRPr="000F700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C2E" w:rsidRPr="000F7007" w:rsidRDefault="00882147" w:rsidP="00536C2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162748347"/>
        <w:docPartObj>
          <w:docPartGallery w:val="Page Numbers (Top of Page)"/>
          <w:docPartUnique/>
        </w:docPartObj>
      </w:sdtPr>
      <w:sdtEndPr>
        <w:rPr>
          <w:noProof/>
        </w:rPr>
      </w:sdtEndPr>
      <w:sdtContent>
        <w:r w:rsidRPr="00CC5EB0">
          <w:rPr>
            <w:rFonts w:ascii="Times New Roman" w:hAnsi="Times New Roman" w:cs="Times New Roman"/>
            <w:sz w:val="24"/>
            <w:szCs w:val="24"/>
          </w:rPr>
          <w:t>BONA FIDE OCCUPATIONAL QUALIFICATIONS</w:t>
        </w:r>
        <w:r w:rsidR="00536C2E">
          <w:rPr>
            <w:rFonts w:ascii="Times New Roman" w:hAnsi="Times New Roman" w:cs="Times New Roman"/>
            <w:sz w:val="24"/>
            <w:szCs w:val="24"/>
          </w:rPr>
          <w:tab/>
        </w:r>
        <w:r w:rsidR="00073DBC" w:rsidRPr="000F7007">
          <w:rPr>
            <w:rFonts w:ascii="Times New Roman" w:hAnsi="Times New Roman" w:cs="Times New Roman"/>
            <w:sz w:val="24"/>
            <w:szCs w:val="24"/>
          </w:rPr>
          <w:fldChar w:fldCharType="begin"/>
        </w:r>
        <w:r w:rsidR="00536C2E" w:rsidRPr="000F7007">
          <w:rPr>
            <w:rFonts w:ascii="Times New Roman" w:hAnsi="Times New Roman" w:cs="Times New Roman"/>
            <w:sz w:val="24"/>
            <w:szCs w:val="24"/>
          </w:rPr>
          <w:instrText xml:space="preserve"> PAGE   \* MERGEFORMAT </w:instrText>
        </w:r>
        <w:r w:rsidR="00073DBC" w:rsidRPr="000F7007">
          <w:rPr>
            <w:rFonts w:ascii="Times New Roman" w:hAnsi="Times New Roman" w:cs="Times New Roman"/>
            <w:sz w:val="24"/>
            <w:szCs w:val="24"/>
          </w:rPr>
          <w:fldChar w:fldCharType="separate"/>
        </w:r>
        <w:r w:rsidR="007C376C">
          <w:rPr>
            <w:rFonts w:ascii="Times New Roman" w:hAnsi="Times New Roman" w:cs="Times New Roman"/>
            <w:noProof/>
            <w:sz w:val="24"/>
            <w:szCs w:val="24"/>
          </w:rPr>
          <w:t>1</w:t>
        </w:r>
        <w:r w:rsidR="00073DBC" w:rsidRPr="000F700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F7007"/>
    <w:rsid w:val="00044B30"/>
    <w:rsid w:val="00053351"/>
    <w:rsid w:val="00065C88"/>
    <w:rsid w:val="0006747A"/>
    <w:rsid w:val="00073DBC"/>
    <w:rsid w:val="00091CA2"/>
    <w:rsid w:val="000C4EFE"/>
    <w:rsid w:val="000D7471"/>
    <w:rsid w:val="000F7007"/>
    <w:rsid w:val="001542F8"/>
    <w:rsid w:val="001C62BA"/>
    <w:rsid w:val="002018F2"/>
    <w:rsid w:val="0025718C"/>
    <w:rsid w:val="00265B60"/>
    <w:rsid w:val="00272CD0"/>
    <w:rsid w:val="002E0A54"/>
    <w:rsid w:val="002F3567"/>
    <w:rsid w:val="00344520"/>
    <w:rsid w:val="003B012B"/>
    <w:rsid w:val="003D7CCA"/>
    <w:rsid w:val="003F59D4"/>
    <w:rsid w:val="00407240"/>
    <w:rsid w:val="00451FFD"/>
    <w:rsid w:val="005268D3"/>
    <w:rsid w:val="00536C2E"/>
    <w:rsid w:val="00552834"/>
    <w:rsid w:val="005825C0"/>
    <w:rsid w:val="005D5FFB"/>
    <w:rsid w:val="006374BA"/>
    <w:rsid w:val="00710140"/>
    <w:rsid w:val="00772B88"/>
    <w:rsid w:val="007C376C"/>
    <w:rsid w:val="00882147"/>
    <w:rsid w:val="009A1298"/>
    <w:rsid w:val="00A56418"/>
    <w:rsid w:val="00A66859"/>
    <w:rsid w:val="00AF14E6"/>
    <w:rsid w:val="00B25AC8"/>
    <w:rsid w:val="00C10121"/>
    <w:rsid w:val="00CA6C37"/>
    <w:rsid w:val="00CC064D"/>
    <w:rsid w:val="00CC5EB0"/>
    <w:rsid w:val="00D20ADD"/>
    <w:rsid w:val="00D75EF1"/>
    <w:rsid w:val="00F15E03"/>
    <w:rsid w:val="00F23B0A"/>
    <w:rsid w:val="00FD5B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B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07"/>
  </w:style>
  <w:style w:type="paragraph" w:styleId="Footer">
    <w:name w:val="footer"/>
    <w:basedOn w:val="Normal"/>
    <w:link w:val="FooterChar"/>
    <w:uiPriority w:val="99"/>
    <w:unhideWhenUsed/>
    <w:rsid w:val="000F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07"/>
  </w:style>
  <w:style w:type="character" w:customStyle="1" w:styleId="guideurl">
    <w:name w:val="guideurl"/>
    <w:basedOn w:val="DefaultParagraphFont"/>
    <w:rsid w:val="005D5FFB"/>
  </w:style>
  <w:style w:type="character" w:styleId="Hyperlink">
    <w:name w:val="Hyperlink"/>
    <w:basedOn w:val="DefaultParagraphFont"/>
    <w:uiPriority w:val="99"/>
    <w:unhideWhenUsed/>
    <w:rsid w:val="005D5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0021040">
      <w:bodyDiv w:val="1"/>
      <w:marLeft w:val="0"/>
      <w:marRight w:val="0"/>
      <w:marTop w:val="0"/>
      <w:marBottom w:val="0"/>
      <w:divBdr>
        <w:top w:val="none" w:sz="0" w:space="0" w:color="auto"/>
        <w:left w:val="none" w:sz="0" w:space="0" w:color="auto"/>
        <w:bottom w:val="none" w:sz="0" w:space="0" w:color="auto"/>
        <w:right w:val="none" w:sz="0" w:space="0" w:color="auto"/>
      </w:divBdr>
      <w:divsChild>
        <w:div w:id="712316716">
          <w:marLeft w:val="0"/>
          <w:marRight w:val="0"/>
          <w:marTop w:val="180"/>
          <w:marBottom w:val="270"/>
          <w:divBdr>
            <w:top w:val="single" w:sz="6" w:space="0" w:color="E3E3E3"/>
            <w:left w:val="single" w:sz="6" w:space="0" w:color="E3E3E3"/>
            <w:bottom w:val="single" w:sz="6" w:space="0" w:color="E3E3E3"/>
            <w:right w:val="single" w:sz="6" w:space="0" w:color="E3E3E3"/>
          </w:divBdr>
          <w:divsChild>
            <w:div w:id="1822841446">
              <w:marLeft w:val="0"/>
              <w:marRight w:val="0"/>
              <w:marTop w:val="0"/>
              <w:marBottom w:val="0"/>
              <w:divBdr>
                <w:top w:val="none" w:sz="0" w:space="0" w:color="auto"/>
                <w:left w:val="none" w:sz="0" w:space="0" w:color="auto"/>
                <w:bottom w:val="none" w:sz="0" w:space="0" w:color="auto"/>
                <w:right w:val="none" w:sz="0" w:space="0" w:color="auto"/>
              </w:divBdr>
              <w:divsChild>
                <w:div w:id="1075905328">
                  <w:marLeft w:val="0"/>
                  <w:marRight w:val="0"/>
                  <w:marTop w:val="0"/>
                  <w:marBottom w:val="0"/>
                  <w:divBdr>
                    <w:top w:val="none" w:sz="0" w:space="0" w:color="auto"/>
                    <w:left w:val="none" w:sz="0" w:space="0" w:color="auto"/>
                    <w:bottom w:val="none" w:sz="0" w:space="0" w:color="auto"/>
                    <w:right w:val="none" w:sz="0" w:space="0" w:color="auto"/>
                  </w:divBdr>
                </w:div>
                <w:div w:id="15834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5023">
      <w:bodyDiv w:val="1"/>
      <w:marLeft w:val="0"/>
      <w:marRight w:val="0"/>
      <w:marTop w:val="0"/>
      <w:marBottom w:val="0"/>
      <w:divBdr>
        <w:top w:val="none" w:sz="0" w:space="0" w:color="auto"/>
        <w:left w:val="none" w:sz="0" w:space="0" w:color="auto"/>
        <w:bottom w:val="none" w:sz="0" w:space="0" w:color="auto"/>
        <w:right w:val="none" w:sz="0" w:space="0" w:color="auto"/>
      </w:divBdr>
      <w:divsChild>
        <w:div w:id="9331666">
          <w:marLeft w:val="0"/>
          <w:marRight w:val="0"/>
          <w:marTop w:val="180"/>
          <w:marBottom w:val="270"/>
          <w:divBdr>
            <w:top w:val="single" w:sz="6" w:space="0" w:color="E3E3E3"/>
            <w:left w:val="single" w:sz="6" w:space="0" w:color="E3E3E3"/>
            <w:bottom w:val="single" w:sz="6" w:space="0" w:color="E3E3E3"/>
            <w:right w:val="single" w:sz="6" w:space="0" w:color="E3E3E3"/>
          </w:divBdr>
          <w:divsChild>
            <w:div w:id="1275215533">
              <w:marLeft w:val="0"/>
              <w:marRight w:val="0"/>
              <w:marTop w:val="0"/>
              <w:marBottom w:val="0"/>
              <w:divBdr>
                <w:top w:val="none" w:sz="0" w:space="0" w:color="auto"/>
                <w:left w:val="none" w:sz="0" w:space="0" w:color="auto"/>
                <w:bottom w:val="none" w:sz="0" w:space="0" w:color="auto"/>
                <w:right w:val="none" w:sz="0" w:space="0" w:color="auto"/>
              </w:divBdr>
              <w:divsChild>
                <w:div w:id="1910847887">
                  <w:marLeft w:val="0"/>
                  <w:marRight w:val="0"/>
                  <w:marTop w:val="0"/>
                  <w:marBottom w:val="0"/>
                  <w:divBdr>
                    <w:top w:val="none" w:sz="0" w:space="0" w:color="auto"/>
                    <w:left w:val="none" w:sz="0" w:space="0" w:color="auto"/>
                    <w:bottom w:val="none" w:sz="0" w:space="0" w:color="auto"/>
                    <w:right w:val="none" w:sz="0" w:space="0" w:color="auto"/>
                  </w:divBdr>
                </w:div>
                <w:div w:id="10561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20340">
      <w:bodyDiv w:val="1"/>
      <w:marLeft w:val="0"/>
      <w:marRight w:val="0"/>
      <w:marTop w:val="0"/>
      <w:marBottom w:val="0"/>
      <w:divBdr>
        <w:top w:val="none" w:sz="0" w:space="0" w:color="auto"/>
        <w:left w:val="none" w:sz="0" w:space="0" w:color="auto"/>
        <w:bottom w:val="none" w:sz="0" w:space="0" w:color="auto"/>
        <w:right w:val="none" w:sz="0" w:space="0" w:color="auto"/>
      </w:divBdr>
      <w:divsChild>
        <w:div w:id="1805926836">
          <w:marLeft w:val="0"/>
          <w:marRight w:val="0"/>
          <w:marTop w:val="180"/>
          <w:marBottom w:val="270"/>
          <w:divBdr>
            <w:top w:val="single" w:sz="6" w:space="0" w:color="E3E3E3"/>
            <w:left w:val="single" w:sz="6" w:space="0" w:color="E3E3E3"/>
            <w:bottom w:val="single" w:sz="6" w:space="0" w:color="E3E3E3"/>
            <w:right w:val="single" w:sz="6" w:space="0" w:color="E3E3E3"/>
          </w:divBdr>
          <w:divsChild>
            <w:div w:id="1666930380">
              <w:marLeft w:val="0"/>
              <w:marRight w:val="0"/>
              <w:marTop w:val="0"/>
              <w:marBottom w:val="0"/>
              <w:divBdr>
                <w:top w:val="none" w:sz="0" w:space="0" w:color="auto"/>
                <w:left w:val="none" w:sz="0" w:space="0" w:color="auto"/>
                <w:bottom w:val="none" w:sz="0" w:space="0" w:color="auto"/>
                <w:right w:val="none" w:sz="0" w:space="0" w:color="auto"/>
              </w:divBdr>
              <w:divsChild>
                <w:div w:id="193227661">
                  <w:marLeft w:val="0"/>
                  <w:marRight w:val="0"/>
                  <w:marTop w:val="0"/>
                  <w:marBottom w:val="0"/>
                  <w:divBdr>
                    <w:top w:val="none" w:sz="0" w:space="0" w:color="auto"/>
                    <w:left w:val="none" w:sz="0" w:space="0" w:color="auto"/>
                    <w:bottom w:val="none" w:sz="0" w:space="0" w:color="auto"/>
                    <w:right w:val="none" w:sz="0" w:space="0" w:color="auto"/>
                  </w:divBdr>
                </w:div>
                <w:div w:id="8650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761229">
      <w:bodyDiv w:val="1"/>
      <w:marLeft w:val="0"/>
      <w:marRight w:val="0"/>
      <w:marTop w:val="0"/>
      <w:marBottom w:val="0"/>
      <w:divBdr>
        <w:top w:val="none" w:sz="0" w:space="0" w:color="auto"/>
        <w:left w:val="none" w:sz="0" w:space="0" w:color="auto"/>
        <w:bottom w:val="none" w:sz="0" w:space="0" w:color="auto"/>
        <w:right w:val="none" w:sz="0" w:space="0" w:color="auto"/>
      </w:divBdr>
      <w:divsChild>
        <w:div w:id="1639801888">
          <w:marLeft w:val="0"/>
          <w:marRight w:val="0"/>
          <w:marTop w:val="180"/>
          <w:marBottom w:val="270"/>
          <w:divBdr>
            <w:top w:val="single" w:sz="6" w:space="0" w:color="E3E3E3"/>
            <w:left w:val="single" w:sz="6" w:space="0" w:color="E3E3E3"/>
            <w:bottom w:val="single" w:sz="6" w:space="0" w:color="E3E3E3"/>
            <w:right w:val="single" w:sz="6" w:space="0" w:color="E3E3E3"/>
          </w:divBdr>
          <w:divsChild>
            <w:div w:id="480773960">
              <w:marLeft w:val="0"/>
              <w:marRight w:val="0"/>
              <w:marTop w:val="0"/>
              <w:marBottom w:val="0"/>
              <w:divBdr>
                <w:top w:val="none" w:sz="0" w:space="0" w:color="auto"/>
                <w:left w:val="none" w:sz="0" w:space="0" w:color="auto"/>
                <w:bottom w:val="none" w:sz="0" w:space="0" w:color="auto"/>
                <w:right w:val="none" w:sz="0" w:space="0" w:color="auto"/>
              </w:divBdr>
              <w:divsChild>
                <w:div w:id="140201701">
                  <w:marLeft w:val="0"/>
                  <w:marRight w:val="0"/>
                  <w:marTop w:val="0"/>
                  <w:marBottom w:val="0"/>
                  <w:divBdr>
                    <w:top w:val="none" w:sz="0" w:space="0" w:color="auto"/>
                    <w:left w:val="none" w:sz="0" w:space="0" w:color="auto"/>
                    <w:bottom w:val="none" w:sz="0" w:space="0" w:color="auto"/>
                    <w:right w:val="none" w:sz="0" w:space="0" w:color="auto"/>
                  </w:divBdr>
                </w:div>
                <w:div w:id="107184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1666</Words>
  <Characters>9499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Rasmussen College</Company>
  <LinksUpToDate>false</LinksUpToDate>
  <CharactersWithSpaces>11143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GhostWriter</dc:creator>
  <cp:lastModifiedBy>DAVID</cp:lastModifiedBy>
  <cp:revision>5</cp:revision>
  <dcterms:created xsi:type="dcterms:W3CDTF">2019-03-11T18:32:00Z</dcterms:created>
  <dcterms:modified xsi:type="dcterms:W3CDTF">2019-03-11T18:51:00Z</dcterms:modified>
</cp:coreProperties>
</file>